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7C8" w:rsidRDefault="002407C8" w:rsidP="002407C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Testo 01</w:t>
      </w:r>
    </w:p>
    <w:p w:rsidR="002407C8" w:rsidRDefault="002407C8" w:rsidP="002407C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407C8" w:rsidRDefault="002407C8" w:rsidP="002407C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Etnia (e tribù)</w:t>
      </w:r>
    </w:p>
    <w:p w:rsidR="002407C8" w:rsidRDefault="002407C8" w:rsidP="002407C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concetto di ‘etnia’ è frutto di una lunga storia di dibattiti e riflessioni nelle scienze </w:t>
      </w:r>
      <w:proofErr w:type="spellStart"/>
      <w:r>
        <w:rPr>
          <w:rFonts w:ascii="Calibri" w:hAnsi="Calibri" w:cs="Calibri"/>
          <w:color w:val="000000"/>
        </w:rPr>
        <w:t>etno</w:t>
      </w:r>
      <w:proofErr w:type="spellEnd"/>
      <w:r>
        <w:rPr>
          <w:rFonts w:ascii="Calibri" w:hAnsi="Calibri" w:cs="Calibri"/>
          <w:color w:val="000000"/>
        </w:rPr>
        <w:t xml:space="preserve">-antropologiche. Il significato che sottende è essenzialmente quello di ‘popolazione’ caratterizzata da tratti distintivi, come lingua, cultura, territorio, e anche istituzioni sociali, economiche e politiche, e spesso anche caratteri fisici specifici. Un’etnia sarebbe quindi una realtà sociale umana distinta da altre consimili. L’idea di etnia è contigua all’idea di ‘razza’ perché un’etnia è tale per le caratteristiche fisico-culturali che la distinguono da tutte le altre. Per lungo tempo, il termine etnia è apparso agli studiosi molto adatto a sostituire alcuni concetti, come appunto razza e nazione, particolarmente compromessi con ideologie politiche, ed anche un termine apparentemente più neutrale come ‘tribù’ – che continua ampiamente ad essere usato nel linguaggio sia comune che intellettuale – termine che invece rappresenta un vestigio di antico e mai sopito sentimento di superiorità nei confronti del mondo considerato ‘primitivo’. La nozione di tribù è un’invenzione dell’evoluzionismo culturale del XIX secolo che ha voluto classificare i popoli ritenuti non civilizzati mediante categorie e concetti specifici: le tribù non esistono, esistono invece le popolazioni, le società, gli insediamenti territoriali (villaggi, città), le unità politiche territoriali (stati, regni, domini, ecc.). Dal saggio di </w:t>
      </w:r>
      <w:proofErr w:type="spellStart"/>
      <w:r>
        <w:rPr>
          <w:rFonts w:ascii="Calibri" w:hAnsi="Calibri" w:cs="Calibri"/>
          <w:color w:val="000000"/>
        </w:rPr>
        <w:t>Morton</w:t>
      </w:r>
      <w:proofErr w:type="spellEnd"/>
      <w:r>
        <w:rPr>
          <w:rFonts w:ascii="Calibri" w:hAnsi="Calibri" w:cs="Calibri"/>
          <w:color w:val="000000"/>
        </w:rPr>
        <w:t xml:space="preserve"> H. </w:t>
      </w:r>
      <w:proofErr w:type="spellStart"/>
      <w:r>
        <w:rPr>
          <w:rFonts w:ascii="Calibri" w:hAnsi="Calibri" w:cs="Calibri"/>
          <w:color w:val="000000"/>
        </w:rPr>
        <w:t>Fried</w:t>
      </w:r>
      <w:proofErr w:type="spellEnd"/>
      <w:r>
        <w:rPr>
          <w:rFonts w:ascii="Calibri" w:hAnsi="Calibri" w:cs="Calibri"/>
          <w:color w:val="000000"/>
        </w:rPr>
        <w:t xml:space="preserve">, The </w:t>
      </w:r>
      <w:proofErr w:type="spellStart"/>
      <w:r>
        <w:rPr>
          <w:rFonts w:ascii="Calibri" w:hAnsi="Calibri" w:cs="Calibri"/>
          <w:color w:val="000000"/>
        </w:rPr>
        <w:t>Notion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Tribe</w:t>
      </w:r>
      <w:proofErr w:type="spellEnd"/>
      <w:r>
        <w:rPr>
          <w:rFonts w:ascii="Calibri" w:hAnsi="Calibri" w:cs="Calibri"/>
          <w:color w:val="000000"/>
        </w:rPr>
        <w:t> (</w:t>
      </w:r>
      <w:proofErr w:type="spellStart"/>
      <w:r>
        <w:rPr>
          <w:rFonts w:ascii="Calibri" w:hAnsi="Calibri" w:cs="Calibri"/>
          <w:color w:val="000000"/>
        </w:rPr>
        <w:t>Menlo</w:t>
      </w:r>
      <w:proofErr w:type="spellEnd"/>
      <w:r>
        <w:rPr>
          <w:rFonts w:ascii="Calibri" w:hAnsi="Calibri" w:cs="Calibri"/>
          <w:color w:val="000000"/>
        </w:rPr>
        <w:t xml:space="preserve"> Park, CA: </w:t>
      </w:r>
      <w:proofErr w:type="spellStart"/>
      <w:r>
        <w:rPr>
          <w:rFonts w:ascii="Calibri" w:hAnsi="Calibri" w:cs="Calibri"/>
          <w:color w:val="000000"/>
        </w:rPr>
        <w:t>Cummings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Publ</w:t>
      </w:r>
      <w:proofErr w:type="spellEnd"/>
      <w:r>
        <w:rPr>
          <w:rFonts w:ascii="Calibri" w:hAnsi="Calibri" w:cs="Calibri"/>
          <w:color w:val="000000"/>
        </w:rPr>
        <w:t xml:space="preserve">., 1975), al libro collettaneo curato da Jean-Loup </w:t>
      </w:r>
      <w:proofErr w:type="spellStart"/>
      <w:r>
        <w:rPr>
          <w:rFonts w:ascii="Calibri" w:hAnsi="Calibri" w:cs="Calibri"/>
          <w:color w:val="000000"/>
        </w:rPr>
        <w:t>Amselle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Elikia</w:t>
      </w:r>
      <w:proofErr w:type="spellEnd"/>
      <w:r>
        <w:rPr>
          <w:rFonts w:ascii="Calibri" w:hAnsi="Calibri" w:cs="Calibri"/>
          <w:color w:val="000000"/>
        </w:rPr>
        <w:t xml:space="preserve"> M’</w:t>
      </w:r>
      <w:proofErr w:type="spellStart"/>
      <w:r>
        <w:rPr>
          <w:rFonts w:ascii="Calibri" w:hAnsi="Calibri" w:cs="Calibri"/>
          <w:color w:val="000000"/>
        </w:rPr>
        <w:t>Bokolo</w:t>
      </w:r>
      <w:proofErr w:type="spellEnd"/>
      <w:r>
        <w:rPr>
          <w:rFonts w:ascii="Calibri" w:hAnsi="Calibri" w:cs="Calibri"/>
          <w:color w:val="000000"/>
        </w:rPr>
        <w:t>, </w:t>
      </w:r>
      <w:proofErr w:type="spellStart"/>
      <w:r>
        <w:rPr>
          <w:rFonts w:ascii="Calibri" w:hAnsi="Calibri" w:cs="Calibri"/>
          <w:color w:val="000000"/>
        </w:rPr>
        <w:t>Au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cœur</w:t>
      </w:r>
      <w:proofErr w:type="spellEnd"/>
      <w:r>
        <w:rPr>
          <w:rFonts w:ascii="Calibri" w:hAnsi="Calibri" w:cs="Calibri"/>
          <w:color w:val="000000"/>
        </w:rPr>
        <w:t xml:space="preserve"> de l'</w:t>
      </w:r>
      <w:proofErr w:type="spellStart"/>
      <w:r>
        <w:rPr>
          <w:rFonts w:ascii="Calibri" w:hAnsi="Calibri" w:cs="Calibri"/>
          <w:color w:val="000000"/>
        </w:rPr>
        <w:t>ethnie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ethnies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tribalisme</w:t>
      </w:r>
      <w:proofErr w:type="spellEnd"/>
      <w:r>
        <w:rPr>
          <w:rFonts w:ascii="Calibri" w:hAnsi="Calibri" w:cs="Calibri"/>
          <w:color w:val="000000"/>
        </w:rPr>
        <w:t xml:space="preserve"> et </w:t>
      </w:r>
      <w:proofErr w:type="spellStart"/>
      <w:r>
        <w:rPr>
          <w:rFonts w:ascii="Calibri" w:hAnsi="Calibri" w:cs="Calibri"/>
          <w:color w:val="000000"/>
        </w:rPr>
        <w:t>État</w:t>
      </w:r>
      <w:proofErr w:type="spellEnd"/>
      <w:r>
        <w:rPr>
          <w:rFonts w:ascii="Calibri" w:hAnsi="Calibri" w:cs="Calibri"/>
          <w:color w:val="000000"/>
        </w:rPr>
        <w:t xml:space="preserve"> en Afrique (Paris: la </w:t>
      </w:r>
      <w:proofErr w:type="spellStart"/>
      <w:r>
        <w:rPr>
          <w:rFonts w:ascii="Calibri" w:hAnsi="Calibri" w:cs="Calibri"/>
          <w:color w:val="000000"/>
        </w:rPr>
        <w:t>Découverte</w:t>
      </w:r>
      <w:proofErr w:type="spellEnd"/>
      <w:r>
        <w:rPr>
          <w:rFonts w:ascii="Calibri" w:hAnsi="Calibri" w:cs="Calibri"/>
          <w:color w:val="000000"/>
        </w:rPr>
        <w:t xml:space="preserve">, 1985; </w:t>
      </w:r>
      <w:proofErr w:type="spellStart"/>
      <w:r>
        <w:rPr>
          <w:rFonts w:ascii="Calibri" w:hAnsi="Calibri" w:cs="Calibri"/>
          <w:color w:val="000000"/>
        </w:rPr>
        <w:t>trad</w:t>
      </w:r>
      <w:proofErr w:type="spellEnd"/>
      <w:r>
        <w:rPr>
          <w:rFonts w:ascii="Calibri" w:hAnsi="Calibri" w:cs="Calibri"/>
          <w:color w:val="000000"/>
        </w:rPr>
        <w:t xml:space="preserve">. italiana: L’invenzione dell’etnia, Roma: </w:t>
      </w:r>
      <w:proofErr w:type="spellStart"/>
      <w:r>
        <w:rPr>
          <w:rFonts w:ascii="Calibri" w:hAnsi="Calibri" w:cs="Calibri"/>
          <w:color w:val="000000"/>
        </w:rPr>
        <w:t>Meltemi</w:t>
      </w:r>
      <w:proofErr w:type="spellEnd"/>
      <w:r>
        <w:rPr>
          <w:rFonts w:ascii="Calibri" w:hAnsi="Calibri" w:cs="Calibri"/>
          <w:color w:val="000000"/>
        </w:rPr>
        <w:t>, 2008) si è sviluppato un decennio di discussione che ha definitivamente riconsiderato la questione etnica. Come non esistono tribù fisicamente e culturalmente date e immutate nel tempo, così non esistono etnie biologicamente e culturalmente ‘pure’: le popolazioni umane sono tutte il frutto di migrazioni e ibridazioni che, nel tempo storico, hanno prodotto la situazione attuale.</w:t>
      </w:r>
    </w:p>
    <w:p w:rsidR="002407C8" w:rsidRDefault="002407C8" w:rsidP="002407C8">
      <w:pPr>
        <w:rPr>
          <w:rFonts w:ascii="Calibri" w:hAnsi="Calibri" w:cs="Calibri"/>
          <w:color w:val="000000"/>
        </w:rPr>
      </w:pPr>
    </w:p>
    <w:p w:rsidR="002407C8" w:rsidRDefault="002407C8" w:rsidP="002407C8">
      <w:pPr>
        <w:rPr>
          <w:rFonts w:ascii="Calibri" w:hAnsi="Calibri" w:cs="Calibri"/>
          <w:color w:val="000000"/>
        </w:rPr>
      </w:pPr>
    </w:p>
    <w:p w:rsidR="002407C8" w:rsidRDefault="002407C8" w:rsidP="002407C8">
      <w:pPr>
        <w:numPr>
          <w:ilvl w:val="3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68" w:lineRule="auto"/>
        <w:ind w:left="446" w:hanging="447"/>
        <w:rPr>
          <w:rFonts w:ascii="Arial" w:hAnsi="Arial" w:cs="Arial"/>
          <w:i/>
          <w:iCs/>
          <w:color w:val="1D1D1D"/>
        </w:rPr>
      </w:pPr>
      <w:r>
        <w:rPr>
          <w:rFonts w:ascii="Arial" w:hAnsi="Arial" w:cs="Arial"/>
          <w:i/>
          <w:iCs/>
          <w:color w:val="1D1D1D"/>
        </w:rPr>
        <w:t>Testo 02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28"/>
          <w:szCs w:val="28"/>
        </w:rPr>
      </w:pPr>
      <w:proofErr w:type="spellStart"/>
      <w:r>
        <w:rPr>
          <w:rFonts w:ascii="Arial" w:hAnsi="Arial" w:cs="Arial"/>
          <w:i/>
          <w:iCs/>
          <w:color w:val="1D1D1D"/>
        </w:rPr>
        <w:t>It’s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becoming</w:t>
      </w:r>
      <w:proofErr w:type="spellEnd"/>
      <w:r>
        <w:rPr>
          <w:rFonts w:ascii="Arial" w:hAnsi="Arial" w:cs="Arial"/>
          <w:i/>
          <w:iCs/>
          <w:color w:val="1D1D1D"/>
        </w:rPr>
        <w:t xml:space="preserve"> more </w:t>
      </w:r>
      <w:proofErr w:type="spellStart"/>
      <w:r>
        <w:rPr>
          <w:rFonts w:ascii="Arial" w:hAnsi="Arial" w:cs="Arial"/>
          <w:i/>
          <w:iCs/>
          <w:color w:val="1D1D1D"/>
        </w:rPr>
        <w:t>important</w:t>
      </w:r>
      <w:proofErr w:type="spellEnd"/>
      <w:r>
        <w:rPr>
          <w:rFonts w:ascii="Arial" w:hAnsi="Arial" w:cs="Arial"/>
          <w:i/>
          <w:iCs/>
          <w:color w:val="1D1D1D"/>
        </w:rPr>
        <w:t xml:space="preserve"> for </w:t>
      </w:r>
      <w:proofErr w:type="spellStart"/>
      <w:r>
        <w:rPr>
          <w:rFonts w:ascii="Arial" w:hAnsi="Arial" w:cs="Arial"/>
          <w:i/>
          <w:iCs/>
          <w:color w:val="1D1D1D"/>
        </w:rPr>
        <w:t>Damascenes</w:t>
      </w:r>
      <w:proofErr w:type="spellEnd"/>
      <w:r>
        <w:rPr>
          <w:rFonts w:ascii="Arial" w:hAnsi="Arial" w:cs="Arial"/>
          <w:i/>
          <w:iCs/>
          <w:color w:val="1D1D1D"/>
        </w:rPr>
        <w:t xml:space="preserve"> to </w:t>
      </w:r>
      <w:proofErr w:type="spellStart"/>
      <w:r>
        <w:rPr>
          <w:rFonts w:ascii="Arial" w:hAnsi="Arial" w:cs="Arial"/>
          <w:i/>
          <w:iCs/>
          <w:color w:val="1D1D1D"/>
        </w:rPr>
        <w:t>marry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Damascenes</w:t>
      </w:r>
      <w:proofErr w:type="spellEnd"/>
      <w:r>
        <w:rPr>
          <w:rFonts w:ascii="Arial" w:hAnsi="Arial" w:cs="Arial"/>
          <w:i/>
          <w:iCs/>
          <w:color w:val="1D1D1D"/>
        </w:rPr>
        <w:t xml:space="preserve">, </w:t>
      </w:r>
      <w:proofErr w:type="spellStart"/>
      <w:r>
        <w:rPr>
          <w:rFonts w:ascii="Arial" w:hAnsi="Arial" w:cs="Arial"/>
          <w:i/>
          <w:iCs/>
          <w:color w:val="1D1D1D"/>
        </w:rPr>
        <w:t>much</w:t>
      </w:r>
      <w:proofErr w:type="spellEnd"/>
      <w:r>
        <w:rPr>
          <w:rFonts w:ascii="Arial" w:hAnsi="Arial" w:cs="Arial"/>
          <w:i/>
          <w:iCs/>
          <w:color w:val="1D1D1D"/>
        </w:rPr>
        <w:t xml:space="preserve"> more so </w:t>
      </w:r>
      <w:proofErr w:type="spellStart"/>
      <w:r>
        <w:rPr>
          <w:rFonts w:ascii="Arial" w:hAnsi="Arial" w:cs="Arial"/>
          <w:i/>
          <w:iCs/>
          <w:color w:val="1D1D1D"/>
        </w:rPr>
        <w:t>than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it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was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ten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years</w:t>
      </w:r>
      <w:proofErr w:type="spellEnd"/>
      <w:r>
        <w:rPr>
          <w:rFonts w:ascii="Arial" w:hAnsi="Arial" w:cs="Arial"/>
          <w:i/>
          <w:iCs/>
          <w:color w:val="1D1D1D"/>
        </w:rPr>
        <w:t xml:space="preserve"> ago. </w:t>
      </w:r>
      <w:proofErr w:type="spellStart"/>
      <w:r>
        <w:rPr>
          <w:rFonts w:ascii="Arial" w:hAnsi="Arial" w:cs="Arial"/>
          <w:i/>
          <w:iCs/>
          <w:color w:val="1D1D1D"/>
        </w:rPr>
        <w:t>That</w:t>
      </w:r>
      <w:proofErr w:type="spellEnd"/>
      <w:r>
        <w:rPr>
          <w:rFonts w:ascii="Arial" w:hAnsi="Arial" w:cs="Arial"/>
          <w:i/>
          <w:iCs/>
          <w:color w:val="1D1D1D"/>
        </w:rPr>
        <w:t xml:space="preserve"> way, </w:t>
      </w:r>
      <w:proofErr w:type="spellStart"/>
      <w:r>
        <w:rPr>
          <w:rFonts w:ascii="Arial" w:hAnsi="Arial" w:cs="Arial"/>
          <w:i/>
          <w:iCs/>
          <w:color w:val="1D1D1D"/>
        </w:rPr>
        <w:t>you'll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belong</w:t>
      </w:r>
      <w:proofErr w:type="spellEnd"/>
      <w:r>
        <w:rPr>
          <w:rFonts w:ascii="Arial" w:hAnsi="Arial" w:cs="Arial"/>
          <w:i/>
          <w:iCs/>
          <w:color w:val="1D1D1D"/>
        </w:rPr>
        <w:t xml:space="preserve"> to a part of </w:t>
      </w:r>
      <w:proofErr w:type="spellStart"/>
      <w:r>
        <w:rPr>
          <w:rFonts w:ascii="Arial" w:hAnsi="Arial" w:cs="Arial"/>
          <w:i/>
          <w:iCs/>
          <w:color w:val="1D1D1D"/>
        </w:rPr>
        <w:t>this</w:t>
      </w:r>
      <w:proofErr w:type="spellEnd"/>
      <w:r>
        <w:rPr>
          <w:rFonts w:ascii="Arial" w:hAnsi="Arial" w:cs="Arial"/>
          <w:i/>
          <w:iCs/>
          <w:color w:val="1D1D1D"/>
        </w:rPr>
        <w:t xml:space="preserve"> country </w:t>
      </w:r>
      <w:proofErr w:type="spellStart"/>
      <w:r>
        <w:rPr>
          <w:rFonts w:ascii="Arial" w:hAnsi="Arial" w:cs="Arial"/>
          <w:i/>
          <w:iCs/>
          <w:color w:val="1D1D1D"/>
        </w:rPr>
        <w:t>that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has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prestige</w:t>
      </w:r>
      <w:proofErr w:type="spellEnd"/>
      <w:r>
        <w:rPr>
          <w:rFonts w:ascii="Arial" w:hAnsi="Arial" w:cs="Arial"/>
          <w:i/>
          <w:iCs/>
          <w:color w:val="1D1D1D"/>
        </w:rPr>
        <w:t xml:space="preserve">, and </w:t>
      </w:r>
      <w:proofErr w:type="spellStart"/>
      <w:r>
        <w:rPr>
          <w:rFonts w:ascii="Arial" w:hAnsi="Arial" w:cs="Arial"/>
          <w:i/>
          <w:iCs/>
          <w:color w:val="1D1D1D"/>
        </w:rPr>
        <w:t>not</w:t>
      </w:r>
      <w:proofErr w:type="spellEnd"/>
      <w:r>
        <w:rPr>
          <w:rFonts w:ascii="Arial" w:hAnsi="Arial" w:cs="Arial"/>
          <w:i/>
          <w:iCs/>
          <w:color w:val="1D1D1D"/>
        </w:rPr>
        <w:t xml:space="preserve"> just in </w:t>
      </w:r>
      <w:proofErr w:type="spellStart"/>
      <w:r>
        <w:rPr>
          <w:rFonts w:ascii="Arial" w:hAnsi="Arial" w:cs="Arial"/>
          <w:i/>
          <w:iCs/>
          <w:color w:val="1D1D1D"/>
        </w:rPr>
        <w:t>terms</w:t>
      </w:r>
      <w:proofErr w:type="spellEnd"/>
      <w:r>
        <w:rPr>
          <w:rFonts w:ascii="Arial" w:hAnsi="Arial" w:cs="Arial"/>
          <w:i/>
          <w:iCs/>
          <w:color w:val="1D1D1D"/>
        </w:rPr>
        <w:t xml:space="preserve"> of </w:t>
      </w:r>
      <w:proofErr w:type="spellStart"/>
      <w:r>
        <w:rPr>
          <w:rFonts w:ascii="Arial" w:hAnsi="Arial" w:cs="Arial"/>
          <w:i/>
          <w:iCs/>
          <w:color w:val="1D1D1D"/>
        </w:rPr>
        <w:t>money</w:t>
      </w:r>
      <w:proofErr w:type="spellEnd"/>
      <w:r>
        <w:rPr>
          <w:rFonts w:ascii="Arial" w:hAnsi="Arial" w:cs="Arial"/>
          <w:i/>
          <w:iCs/>
          <w:color w:val="1D1D1D"/>
        </w:rPr>
        <w:t xml:space="preserve">. </w:t>
      </w:r>
      <w:proofErr w:type="spellStart"/>
      <w:r>
        <w:rPr>
          <w:rFonts w:ascii="Arial" w:hAnsi="Arial" w:cs="Arial"/>
          <w:i/>
          <w:iCs/>
          <w:color w:val="1D1D1D"/>
        </w:rPr>
        <w:t>Some­times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it's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even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easier</w:t>
      </w:r>
      <w:proofErr w:type="spellEnd"/>
      <w:r>
        <w:rPr>
          <w:rFonts w:ascii="Arial" w:hAnsi="Arial" w:cs="Arial"/>
          <w:i/>
          <w:iCs/>
          <w:color w:val="1D1D1D"/>
        </w:rPr>
        <w:t xml:space="preserve"> to </w:t>
      </w:r>
      <w:proofErr w:type="spellStart"/>
      <w:r>
        <w:rPr>
          <w:rFonts w:ascii="Arial" w:hAnsi="Arial" w:cs="Arial"/>
          <w:i/>
          <w:iCs/>
          <w:color w:val="1D1D1D"/>
        </w:rPr>
        <w:t>tell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your</w:t>
      </w:r>
      <w:proofErr w:type="spellEnd"/>
      <w:r>
        <w:rPr>
          <w:rFonts w:ascii="Arial" w:hAnsi="Arial" w:cs="Arial"/>
          <w:i/>
          <w:iCs/>
          <w:color w:val="1D1D1D"/>
        </w:rPr>
        <w:t xml:space="preserve"> friends </w:t>
      </w:r>
      <w:proofErr w:type="spellStart"/>
      <w:r>
        <w:rPr>
          <w:rFonts w:ascii="Arial" w:hAnsi="Arial" w:cs="Arial"/>
          <w:i/>
          <w:iCs/>
          <w:color w:val="1D1D1D"/>
        </w:rPr>
        <w:t>you're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marrying</w:t>
      </w:r>
      <w:proofErr w:type="spellEnd"/>
      <w:r>
        <w:rPr>
          <w:rFonts w:ascii="Arial" w:hAnsi="Arial" w:cs="Arial"/>
          <w:i/>
          <w:iCs/>
          <w:color w:val="1D1D1D"/>
        </w:rPr>
        <w:t xml:space="preserve"> a </w:t>
      </w:r>
      <w:proofErr w:type="spellStart"/>
      <w:r>
        <w:rPr>
          <w:rFonts w:ascii="Arial" w:hAnsi="Arial" w:cs="Arial"/>
          <w:i/>
          <w:iCs/>
          <w:color w:val="1D1D1D"/>
        </w:rPr>
        <w:t>foreigner</w:t>
      </w:r>
      <w:proofErr w:type="spellEnd"/>
      <w:r>
        <w:rPr>
          <w:rFonts w:ascii="Arial" w:hAnsi="Arial" w:cs="Arial"/>
          <w:i/>
          <w:iCs/>
          <w:color w:val="1D1D1D"/>
        </w:rPr>
        <w:t xml:space="preserve">, </w:t>
      </w:r>
      <w:proofErr w:type="spellStart"/>
      <w:r>
        <w:rPr>
          <w:rFonts w:ascii="Arial" w:hAnsi="Arial" w:cs="Arial"/>
          <w:i/>
          <w:iCs/>
          <w:color w:val="1D1D1D"/>
        </w:rPr>
        <w:t>as</w:t>
      </w:r>
      <w:proofErr w:type="spellEnd"/>
      <w:r>
        <w:rPr>
          <w:rFonts w:ascii="Arial" w:hAnsi="Arial" w:cs="Arial"/>
          <w:i/>
          <w:iCs/>
          <w:color w:val="1D1D1D"/>
        </w:rPr>
        <w:t xml:space="preserve"> long </w:t>
      </w:r>
      <w:proofErr w:type="spellStart"/>
      <w:r>
        <w:rPr>
          <w:rFonts w:ascii="Arial" w:hAnsi="Arial" w:cs="Arial"/>
          <w:i/>
          <w:iCs/>
          <w:color w:val="1D1D1D"/>
        </w:rPr>
        <w:t>as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he's</w:t>
      </w:r>
      <w:proofErr w:type="spellEnd"/>
      <w:r>
        <w:rPr>
          <w:rFonts w:ascii="Arial" w:hAnsi="Arial" w:cs="Arial"/>
          <w:i/>
          <w:iCs/>
          <w:color w:val="1D1D1D"/>
        </w:rPr>
        <w:t xml:space="preserve"> a </w:t>
      </w:r>
      <w:proofErr w:type="spellStart"/>
      <w:r>
        <w:rPr>
          <w:rFonts w:ascii="Arial" w:hAnsi="Arial" w:cs="Arial"/>
          <w:i/>
          <w:iCs/>
          <w:color w:val="1D1D1D"/>
        </w:rPr>
        <w:t>Muslim</w:t>
      </w:r>
      <w:proofErr w:type="spellEnd"/>
      <w:r>
        <w:rPr>
          <w:rFonts w:ascii="Arial" w:hAnsi="Arial" w:cs="Arial"/>
          <w:i/>
          <w:iCs/>
          <w:color w:val="1D1D1D"/>
        </w:rPr>
        <w:t xml:space="preserve">, </w:t>
      </w:r>
      <w:proofErr w:type="spellStart"/>
      <w:r>
        <w:rPr>
          <w:rFonts w:ascii="Arial" w:hAnsi="Arial" w:cs="Arial"/>
          <w:i/>
          <w:iCs/>
          <w:color w:val="1D1D1D"/>
        </w:rPr>
        <w:t>than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someone</w:t>
      </w:r>
      <w:proofErr w:type="spellEnd"/>
      <w:r>
        <w:rPr>
          <w:rFonts w:ascii="Arial" w:hAnsi="Arial" w:cs="Arial"/>
          <w:i/>
          <w:iCs/>
          <w:color w:val="1D1D1D"/>
        </w:rPr>
        <w:t xml:space="preserve"> from a </w:t>
      </w:r>
      <w:proofErr w:type="spellStart"/>
      <w:r>
        <w:rPr>
          <w:rFonts w:ascii="Arial" w:hAnsi="Arial" w:cs="Arial"/>
          <w:i/>
          <w:iCs/>
          <w:color w:val="1D1D1D"/>
        </w:rPr>
        <w:t>Syrian</w:t>
      </w:r>
      <w:proofErr w:type="spellEnd"/>
      <w:r>
        <w:rPr>
          <w:rFonts w:ascii="Arial" w:hAnsi="Arial" w:cs="Arial"/>
          <w:i/>
          <w:iCs/>
          <w:color w:val="1D1D1D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</w:rPr>
        <w:t>village</w:t>
      </w:r>
      <w:proofErr w:type="spellEnd"/>
      <w:r>
        <w:rPr>
          <w:rFonts w:ascii="Arial" w:hAnsi="Arial" w:cs="Arial"/>
          <w:i/>
          <w:iCs/>
          <w:color w:val="1D1D1D"/>
          <w:sz w:val="28"/>
          <w:szCs w:val="28"/>
        </w:rPr>
        <w:t>.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28"/>
          <w:szCs w:val="28"/>
        </w:rPr>
      </w:pPr>
    </w:p>
    <w:p w:rsidR="002407C8" w:rsidRDefault="002407C8" w:rsidP="002407C8">
      <w:pPr>
        <w:numPr>
          <w:ilvl w:val="2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i/>
          <w:iCs/>
          <w:color w:val="1D1D1D"/>
          <w:sz w:val="32"/>
          <w:szCs w:val="32"/>
        </w:rPr>
      </w:pPr>
      <w:r>
        <w:rPr>
          <w:rFonts w:ascii="Arial" w:hAnsi="Arial" w:cs="Arial"/>
          <w:i/>
          <w:iCs/>
          <w:color w:val="1D1D1D"/>
          <w:sz w:val="32"/>
          <w:szCs w:val="32"/>
        </w:rPr>
        <w:t>Testo 03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  <w:r>
        <w:rPr>
          <w:rFonts w:ascii="Arial" w:hAnsi="Arial" w:cs="Arial"/>
          <w:i/>
          <w:iCs/>
          <w:color w:val="1D1D1D"/>
          <w:sz w:val="32"/>
          <w:szCs w:val="32"/>
        </w:rPr>
        <w:t>Per la nostra legge (al-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shar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>‘) e la nostra religione nostra sorella, anche se è fidanzata (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makhtube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>) non deve uscire con il fidanzato (al-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khatib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>). Solo quando si sposa può andare a casa del marito; prima può vedere il fidanzato solo accogliendolo in casa propria, in presenza di suo fratello.</w:t>
      </w:r>
      <w:r>
        <w:rPr>
          <w:rFonts w:ascii="Arial" w:hAnsi="Arial" w:cs="Arial"/>
          <w:color w:val="1D1D1D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 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</w:p>
    <w:p w:rsidR="002407C8" w:rsidRDefault="002407C8" w:rsidP="002407C8">
      <w:pPr>
        <w:numPr>
          <w:ilvl w:val="3"/>
          <w:numId w:val="1"/>
        </w:numPr>
        <w:tabs>
          <w:tab w:val="left" w:pos="1350"/>
        </w:tabs>
        <w:autoSpaceDE w:val="0"/>
        <w:autoSpaceDN w:val="0"/>
        <w:adjustRightInd w:val="0"/>
        <w:spacing w:after="192"/>
        <w:ind w:left="1350" w:hanging="1350"/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</w:pP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ab/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•Testo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04</w:t>
      </w:r>
    </w:p>
    <w:p w:rsidR="002407C8" w:rsidRDefault="002407C8" w:rsidP="002407C8">
      <w:pPr>
        <w:numPr>
          <w:ilvl w:val="2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192"/>
        <w:ind w:left="1800" w:hanging="1800"/>
        <w:rPr>
          <w:rFonts w:ascii="Arial" w:hAnsi="Arial" w:cs="Arial"/>
          <w:color w:val="000000"/>
          <w:sz w:val="32"/>
          <w:szCs w:val="32"/>
          <w:lang w:bidi="he-IL"/>
        </w:rPr>
      </w:pP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lastRenderedPageBreak/>
        <w:t xml:space="preserve"> 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“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Vivo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lì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ad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‘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Ammara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il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lavoro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il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cibo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vita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lì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good</w:t>
      </w:r>
      <w:proofErr w:type="spellEnd"/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Qui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(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Al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>-</w:t>
      </w:r>
      <w:proofErr w:type="spellStart"/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Tauani</w:t>
      </w:r>
      <w:proofErr w:type="spellEnd"/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)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bambini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vanno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strada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tranquilli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lì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Qui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non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’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è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rumore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;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senti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rumori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?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’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aria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è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buona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Mia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moglie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ama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stare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qui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piacerebbe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risiedere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un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quartiere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periferico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Damasco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arrivare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più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fretta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al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mio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paese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proofErr w:type="gramStart"/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ma</w:t>
      </w:r>
      <w:proofErr w:type="gramEnd"/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il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mio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lavoro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è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meglio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stare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centro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”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>. (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Abu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Mohammed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>)</w:t>
      </w:r>
    </w:p>
    <w:p w:rsidR="002407C8" w:rsidRDefault="002407C8" w:rsidP="002407C8">
      <w:pPr>
        <w:numPr>
          <w:ilvl w:val="2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after="216"/>
        <w:ind w:left="1800" w:hanging="1800"/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</w:pP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“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Lì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Sham</w:t>
      </w:r>
      <w:proofErr w:type="spellEnd"/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sono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soldi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Qui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bambini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lavorano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perché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pensano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propri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familiari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che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devono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fare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sacrifici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per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loro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In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città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mandano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tutti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bambini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scuola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anche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sono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degli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asini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vengono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bocciati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.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bambini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della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campagna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sono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più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intelligenti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,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anche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se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più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</w:t>
      </w:r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poveri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>!</w:t>
      </w:r>
      <w:r>
        <w:rPr>
          <w:rFonts w:ascii="Arial Hebrew Scholar" w:hAnsi="Arial Hebrew Scholar" w:cs="Arial Hebrew Scholar" w:hint="eastAsia"/>
          <w:color w:val="000000"/>
          <w:sz w:val="32"/>
          <w:szCs w:val="32"/>
          <w:lang w:bidi="he-IL"/>
        </w:rPr>
        <w:t>”</w:t>
      </w:r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 xml:space="preserve"> (</w:t>
      </w:r>
      <w:proofErr w:type="spellStart"/>
      <w:r>
        <w:rPr>
          <w:rFonts w:ascii="Lucida Grande" w:hAnsi="Lucida Grande" w:cs="Lucida Grande"/>
          <w:color w:val="000000"/>
          <w:sz w:val="32"/>
          <w:szCs w:val="32"/>
          <w:lang w:bidi="he-IL"/>
        </w:rPr>
        <w:t>Ghuslanie</w:t>
      </w:r>
      <w:proofErr w:type="spellEnd"/>
      <w:r>
        <w:rPr>
          <w:rFonts w:ascii="Arial Hebrew Scholar" w:hAnsi="Arial Hebrew Scholar" w:cs="Arial Hebrew Scholar"/>
          <w:color w:val="000000"/>
          <w:sz w:val="32"/>
          <w:szCs w:val="32"/>
          <w:lang w:bidi="he-IL"/>
        </w:rPr>
        <w:t>)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</w:tabs>
        <w:autoSpaceDE w:val="0"/>
        <w:autoSpaceDN w:val="0"/>
        <w:adjustRightInd w:val="0"/>
        <w:spacing w:after="216"/>
        <w:ind w:left="0" w:firstLine="0"/>
        <w:rPr>
          <w:rFonts w:ascii="Arial" w:hAnsi="Arial" w:cs="Arial"/>
          <w:i/>
          <w:iCs/>
          <w:color w:val="000000"/>
          <w:sz w:val="36"/>
          <w:szCs w:val="36"/>
          <w:lang w:bidi="he-IL"/>
        </w:rPr>
      </w:pPr>
      <w:r>
        <w:rPr>
          <w:rFonts w:ascii="Arial" w:hAnsi="Arial" w:cs="Arial"/>
          <w:i/>
          <w:iCs/>
          <w:color w:val="000000"/>
          <w:kern w:val="1"/>
          <w:sz w:val="36"/>
          <w:szCs w:val="36"/>
          <w:lang w:bidi="he-IL"/>
        </w:rPr>
        <w:tab/>
        <w:t>•</w:t>
      </w:r>
    </w:p>
    <w:p w:rsidR="002407C8" w:rsidRDefault="002407C8" w:rsidP="002407C8"/>
    <w:p w:rsidR="002407C8" w:rsidRDefault="002407C8" w:rsidP="002407C8"/>
    <w:p w:rsidR="002407C8" w:rsidRDefault="002407C8" w:rsidP="002407C8">
      <w:pPr>
        <w:numPr>
          <w:ilvl w:val="2"/>
          <w:numId w:val="1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180" w:line="194" w:lineRule="auto"/>
        <w:ind w:left="540" w:hanging="540"/>
        <w:rPr>
          <w:rFonts w:ascii="Arial" w:hAnsi="Arial" w:cs="Arial"/>
          <w:color w:val="1D1D1D"/>
          <w:sz w:val="32"/>
          <w:szCs w:val="32"/>
        </w:rPr>
      </w:pPr>
      <w:r>
        <w:rPr>
          <w:rFonts w:ascii="Arial" w:hAnsi="Arial" w:cs="Arial"/>
          <w:color w:val="1D1D1D"/>
          <w:sz w:val="34"/>
          <w:szCs w:val="34"/>
        </w:rPr>
        <w:t>Testo 05</w:t>
      </w:r>
    </w:p>
    <w:p w:rsidR="002407C8" w:rsidRDefault="002407C8" w:rsidP="002407C8">
      <w:pPr>
        <w:numPr>
          <w:ilvl w:val="3"/>
          <w:numId w:val="1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180" w:line="194" w:lineRule="auto"/>
        <w:ind w:left="540" w:hanging="540"/>
        <w:rPr>
          <w:rFonts w:ascii="Arial" w:hAnsi="Arial" w:cs="Arial"/>
          <w:i/>
          <w:iCs/>
          <w:color w:val="1D1D1D"/>
          <w:sz w:val="28"/>
          <w:szCs w:val="28"/>
        </w:rPr>
      </w:pPr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Io in casa ho sia il 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majles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, o il 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tarraha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, per sedermi per terra con la mia famiglia, sia il 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kanabaie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 e le sedie per gli ospiti che vogliono sedersi in poltrona e stare più comodi. Gli ospiti di </w:t>
      </w:r>
      <w:proofErr w:type="gramStart"/>
      <w:r>
        <w:rPr>
          <w:rFonts w:ascii="Arial" w:hAnsi="Arial" w:cs="Arial"/>
          <w:i/>
          <w:iCs/>
          <w:color w:val="1D1D1D"/>
          <w:sz w:val="32"/>
          <w:szCs w:val="32"/>
        </w:rPr>
        <w:t>fuori  (</w:t>
      </w:r>
      <w:proofErr w:type="spellStart"/>
      <w:proofErr w:type="gramEnd"/>
      <w:r>
        <w:rPr>
          <w:rFonts w:ascii="Arial" w:hAnsi="Arial" w:cs="Arial"/>
          <w:i/>
          <w:iCs/>
          <w:color w:val="1D1D1D"/>
          <w:sz w:val="32"/>
          <w:szCs w:val="32"/>
        </w:rPr>
        <w:t>ghurb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) si siedono in poltrona. In campagna non hanno il 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kanabaie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>, si siedono e fanno sedere tutti per terra: “Dai, siediti per terra!”.</w:t>
      </w:r>
    </w:p>
    <w:p w:rsidR="002407C8" w:rsidRDefault="002407C8" w:rsidP="002407C8">
      <w:pPr>
        <w:numPr>
          <w:ilvl w:val="3"/>
          <w:numId w:val="1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180" w:line="194" w:lineRule="auto"/>
        <w:ind w:left="540" w:hanging="540"/>
        <w:rPr>
          <w:rFonts w:ascii="Arial" w:hAnsi="Arial" w:cs="Arial"/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32"/>
          <w:szCs w:val="32"/>
        </w:rPr>
        <w:t xml:space="preserve">“Apri e sii orgoglioso, oppure chiudi e lascia stare” </w:t>
      </w:r>
    </w:p>
    <w:p w:rsidR="002407C8" w:rsidRDefault="002407C8" w:rsidP="002407C8">
      <w:pPr>
        <w:numPr>
          <w:ilvl w:val="3"/>
          <w:numId w:val="1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180" w:line="194" w:lineRule="auto"/>
        <w:ind w:left="540" w:hanging="540"/>
        <w:rPr>
          <w:rFonts w:ascii="Arial" w:hAnsi="Arial" w:cs="Arial"/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32"/>
          <w:szCs w:val="32"/>
        </w:rPr>
        <w:t>“</w:t>
      </w:r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Se voglio invitare gente a casa mia, devo riceverli con un bell’aspetto, devo sorridere, devo offrire loro cose adeguate </w:t>
      </w:r>
      <w:proofErr w:type="gramStart"/>
      <w:r>
        <w:rPr>
          <w:rFonts w:ascii="Arial" w:hAnsi="Arial" w:cs="Arial"/>
          <w:i/>
          <w:iCs/>
          <w:color w:val="1D1D1D"/>
          <w:sz w:val="32"/>
          <w:szCs w:val="32"/>
        </w:rPr>
        <w:t>per</w:t>
      </w:r>
      <w:proofErr w:type="gram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 degli ospiti, devo aprire loro la porta ed essere orgoglioso. Devo essere orgoglioso di aver parlato bene e di aver offerto cose buone. Altrimenti è meglio che chiudi la porta, ti siedi nascosto e non inviti nessuno.”</w:t>
      </w:r>
      <w:r>
        <w:rPr>
          <w:rFonts w:ascii="Arial" w:hAnsi="Arial" w:cs="Arial"/>
          <w:color w:val="1D1D1D"/>
          <w:sz w:val="32"/>
          <w:szCs w:val="32"/>
        </w:rPr>
        <w:t xml:space="preserve"> 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  <w:r>
        <w:rPr>
          <w:rFonts w:ascii="Arial" w:hAnsi="Arial" w:cs="Arial"/>
          <w:i/>
          <w:iCs/>
          <w:color w:val="1D1D1D"/>
          <w:sz w:val="32"/>
          <w:szCs w:val="32"/>
        </w:rPr>
        <w:t>In città le case sono piccole e lo spazio è limitato; le case di campagna (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buiut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color w:val="1D1D1D"/>
          <w:sz w:val="32"/>
          <w:szCs w:val="32"/>
        </w:rPr>
        <w:t>rifie</w:t>
      </w:r>
      <w:proofErr w:type="spellEnd"/>
      <w:r>
        <w:rPr>
          <w:rFonts w:ascii="Arial" w:hAnsi="Arial" w:cs="Arial"/>
          <w:i/>
          <w:iCs/>
          <w:color w:val="1D1D1D"/>
          <w:sz w:val="32"/>
          <w:szCs w:val="32"/>
        </w:rPr>
        <w:t>) sono più grandi</w:t>
      </w: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</w:p>
    <w:p w:rsidR="002407C8" w:rsidRDefault="002407C8" w:rsidP="002407C8">
      <w:pPr>
        <w:rPr>
          <w:rFonts w:ascii="Arial" w:hAnsi="Arial" w:cs="Arial"/>
          <w:i/>
          <w:iCs/>
          <w:color w:val="1D1D1D"/>
          <w:sz w:val="32"/>
          <w:szCs w:val="32"/>
        </w:rPr>
      </w:pPr>
    </w:p>
    <w:p w:rsidR="002407C8" w:rsidRDefault="002407C8" w:rsidP="002407C8">
      <w:pPr>
        <w:numPr>
          <w:ilvl w:val="2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34"/>
          <w:szCs w:val="34"/>
        </w:rPr>
        <w:t>Testo 06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lastRenderedPageBreak/>
        <w:t xml:space="preserve">D: «Com’è il quartiere (‘Ammara </w:t>
      </w:r>
      <w:proofErr w:type="spellStart"/>
      <w:r>
        <w:rPr>
          <w:rFonts w:ascii="Arial" w:hAnsi="Arial" w:cs="Arial"/>
          <w:color w:val="1D1D1D"/>
          <w:sz w:val="28"/>
          <w:szCs w:val="28"/>
        </w:rPr>
        <w:t>Barranie</w:t>
      </w:r>
      <w:proofErr w:type="spellEnd"/>
      <w:r>
        <w:rPr>
          <w:rFonts w:ascii="Arial" w:hAnsi="Arial" w:cs="Arial"/>
          <w:color w:val="1D1D1D"/>
          <w:sz w:val="28"/>
          <w:szCs w:val="28"/>
        </w:rPr>
        <w:t>)? Ti piace?»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‘A: «Deve piacermi. Tra il vicino e l’amico deve esserci affetto (</w:t>
      </w:r>
      <w:proofErr w:type="spellStart"/>
      <w:r>
        <w:rPr>
          <w:rFonts w:ascii="Arial" w:hAnsi="Arial" w:cs="Arial"/>
          <w:color w:val="1D1D1D"/>
          <w:sz w:val="28"/>
          <w:szCs w:val="28"/>
        </w:rPr>
        <w:t>mahabbe</w:t>
      </w:r>
      <w:proofErr w:type="spellEnd"/>
      <w:r>
        <w:rPr>
          <w:rFonts w:ascii="Arial" w:hAnsi="Arial" w:cs="Arial"/>
          <w:color w:val="1D1D1D"/>
          <w:sz w:val="28"/>
          <w:szCs w:val="28"/>
        </w:rPr>
        <w:t>)»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D.: «Non ci sono problemi con i vicini?»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‘A.: «Va tutto bene qui, siamo tutti poveri»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D.: «Conosci tutta la gente che abita qui?»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‘A.: «Devo conoscerla, conosco tutti i vicini qui intorno»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D.: «Non preferiresti abitare in un appartamento piuttosto che in una casa araba?»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‘A.: «Io sono della campagna, amo la casa araba»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D.: «I vicini ti conoscono?»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‘A.: «Sì; chiedi “dov’è la casa di ’Abu Mohammed” e tutti te lo diranno».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t>D.: «Ma preferisci la città o la campagna?»</w:t>
      </w: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28"/>
          <w:szCs w:val="28"/>
        </w:rPr>
        <w:t>‘A: «È meglio la campagna. Qui non offrono il tè, non c’è generosità. In campagna tutti sono generosi»</w:t>
      </w: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i/>
          <w:iCs/>
          <w:color w:val="474747"/>
          <w:sz w:val="34"/>
          <w:szCs w:val="34"/>
        </w:rPr>
      </w:pPr>
      <w:r>
        <w:rPr>
          <w:rFonts w:ascii="Arial" w:hAnsi="Arial" w:cs="Arial"/>
          <w:color w:val="474747"/>
          <w:sz w:val="34"/>
          <w:szCs w:val="34"/>
        </w:rPr>
        <w:t>Testo 07</w:t>
      </w:r>
    </w:p>
    <w:p w:rsidR="002407C8" w:rsidRDefault="002407C8" w:rsidP="002407C8">
      <w:pPr>
        <w:numPr>
          <w:ilvl w:val="2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i/>
          <w:iCs/>
          <w:color w:val="474747"/>
          <w:sz w:val="32"/>
          <w:szCs w:val="32"/>
        </w:rPr>
      </w:pPr>
      <w:r>
        <w:rPr>
          <w:rFonts w:ascii="Arial" w:hAnsi="Arial" w:cs="Arial"/>
          <w:i/>
          <w:iCs/>
          <w:color w:val="474747"/>
          <w:sz w:val="28"/>
          <w:szCs w:val="28"/>
        </w:rPr>
        <w:t>Un gusto vivace per gli studi e le cose dello spirito, una inclinazione naturale per la vita religiosa, un temperamento acuto e profondo. [Adottano] un codice morale [che guida tutte le loro azioni] dal modo di mangiare e ricevere gli ospiti alle più avanzate relazioni intellettuali. Sanno utilizzare un tono pacato che rende dolce anche la conversazione più banale.</w:t>
      </w:r>
      <w:r>
        <w:rPr>
          <w:rFonts w:ascii="Arial" w:hAnsi="Arial" w:cs="Arial"/>
          <w:color w:val="474747"/>
          <w:sz w:val="28"/>
          <w:szCs w:val="28"/>
        </w:rPr>
        <w:t xml:space="preserve"> </w:t>
      </w:r>
    </w:p>
    <w:p w:rsidR="002407C8" w:rsidRDefault="002407C8" w:rsidP="002407C8">
      <w:pPr>
        <w:numPr>
          <w:ilvl w:val="2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192" w:lineRule="auto"/>
        <w:ind w:left="446" w:hanging="447"/>
        <w:rPr>
          <w:rFonts w:ascii="Arial" w:hAnsi="Arial" w:cs="Arial"/>
          <w:i/>
          <w:iCs/>
          <w:color w:val="474747"/>
          <w:sz w:val="32"/>
          <w:szCs w:val="32"/>
        </w:rPr>
      </w:pPr>
      <w:r>
        <w:rPr>
          <w:rFonts w:ascii="Arial" w:hAnsi="Arial" w:cs="Arial"/>
          <w:i/>
          <w:iCs/>
          <w:color w:val="474747"/>
          <w:sz w:val="28"/>
          <w:szCs w:val="28"/>
        </w:rPr>
        <w:t xml:space="preserve">Paragonata alle popolazioni rurali che la circondano e alle altre città del Marocco, Fez presenta un’innegabile superiorità da tutti i punti di vista. I </w:t>
      </w:r>
      <w:proofErr w:type="spellStart"/>
      <w:r>
        <w:rPr>
          <w:rFonts w:ascii="Arial" w:hAnsi="Arial" w:cs="Arial"/>
          <w:i/>
          <w:iCs/>
          <w:color w:val="474747"/>
          <w:sz w:val="28"/>
          <w:szCs w:val="28"/>
        </w:rPr>
        <w:t>Fassi</w:t>
      </w:r>
      <w:proofErr w:type="spellEnd"/>
      <w:r>
        <w:rPr>
          <w:rFonts w:ascii="Arial" w:hAnsi="Arial" w:cs="Arial"/>
          <w:i/>
          <w:iCs/>
          <w:color w:val="474747"/>
          <w:sz w:val="28"/>
          <w:szCs w:val="28"/>
        </w:rPr>
        <w:t xml:space="preserve"> trattano con sufficienza tutti i non-</w:t>
      </w:r>
      <w:proofErr w:type="spellStart"/>
      <w:r>
        <w:rPr>
          <w:rFonts w:ascii="Arial" w:hAnsi="Arial" w:cs="Arial"/>
          <w:i/>
          <w:iCs/>
          <w:color w:val="474747"/>
          <w:sz w:val="28"/>
          <w:szCs w:val="28"/>
        </w:rPr>
        <w:t>Fassi</w:t>
      </w:r>
      <w:proofErr w:type="spellEnd"/>
      <w:r>
        <w:rPr>
          <w:rFonts w:ascii="Arial" w:hAnsi="Arial" w:cs="Arial"/>
          <w:i/>
          <w:iCs/>
          <w:color w:val="474747"/>
          <w:sz w:val="28"/>
          <w:szCs w:val="28"/>
        </w:rPr>
        <w:t>], e soprattutto la gente delle campagne marocchine, specialmente i Berberi (</w:t>
      </w:r>
      <w:proofErr w:type="spellStart"/>
      <w:r>
        <w:rPr>
          <w:rFonts w:ascii="Arial" w:hAnsi="Arial" w:cs="Arial"/>
          <w:i/>
          <w:iCs/>
          <w:color w:val="474747"/>
          <w:sz w:val="28"/>
          <w:szCs w:val="28"/>
        </w:rPr>
        <w:t>Amazigh</w:t>
      </w:r>
      <w:proofErr w:type="spellEnd"/>
      <w:r>
        <w:rPr>
          <w:rFonts w:ascii="Arial" w:hAnsi="Arial" w:cs="Arial"/>
          <w:i/>
          <w:iCs/>
          <w:color w:val="474747"/>
          <w:sz w:val="28"/>
          <w:szCs w:val="28"/>
        </w:rPr>
        <w:t>)</w:t>
      </w:r>
    </w:p>
    <w:p w:rsidR="002407C8" w:rsidRDefault="002407C8" w:rsidP="002407C8">
      <w:pPr>
        <w:rPr>
          <w:rFonts w:ascii="Arial" w:hAnsi="Arial" w:cs="Arial"/>
          <w:color w:val="474747"/>
          <w:sz w:val="28"/>
          <w:szCs w:val="28"/>
        </w:rPr>
      </w:pPr>
      <w:r>
        <w:rPr>
          <w:rFonts w:ascii="Arial" w:hAnsi="Arial" w:cs="Arial"/>
          <w:i/>
          <w:iCs/>
          <w:color w:val="474747"/>
          <w:sz w:val="28"/>
          <w:szCs w:val="28"/>
        </w:rPr>
        <w:t>Hanno compassione per la gente che conosce i precetti del Libro Sacro in maniera povera e li trasgredisce continuamente. (</w:t>
      </w:r>
      <w:r>
        <w:rPr>
          <w:rFonts w:ascii="Arial" w:hAnsi="Arial" w:cs="Arial"/>
          <w:color w:val="474747"/>
          <w:sz w:val="28"/>
          <w:szCs w:val="28"/>
        </w:rPr>
        <w:t xml:space="preserve">(Roger Le </w:t>
      </w:r>
      <w:proofErr w:type="spellStart"/>
      <w:r>
        <w:rPr>
          <w:rFonts w:ascii="Arial" w:hAnsi="Arial" w:cs="Arial"/>
          <w:color w:val="474747"/>
          <w:sz w:val="28"/>
          <w:szCs w:val="28"/>
        </w:rPr>
        <w:t>Tourneau</w:t>
      </w:r>
      <w:proofErr w:type="spellEnd"/>
      <w:r>
        <w:rPr>
          <w:rFonts w:ascii="Arial" w:hAnsi="Arial" w:cs="Arial"/>
          <w:color w:val="474747"/>
          <w:sz w:val="28"/>
          <w:szCs w:val="28"/>
        </w:rPr>
        <w:t xml:space="preserve">, dir. </w:t>
      </w:r>
      <w:proofErr w:type="spellStart"/>
      <w:r>
        <w:rPr>
          <w:rFonts w:ascii="Arial" w:hAnsi="Arial" w:cs="Arial"/>
          <w:color w:val="474747"/>
          <w:sz w:val="28"/>
          <w:szCs w:val="28"/>
        </w:rPr>
        <w:t>Collège</w:t>
      </w:r>
      <w:proofErr w:type="spellEnd"/>
      <w:r>
        <w:rPr>
          <w:rFonts w:ascii="Arial" w:hAnsi="Arial" w:cs="Arial"/>
          <w:color w:val="47474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74747"/>
          <w:sz w:val="28"/>
          <w:szCs w:val="28"/>
        </w:rPr>
        <w:t>Musulman</w:t>
      </w:r>
      <w:proofErr w:type="spellEnd"/>
      <w:r>
        <w:rPr>
          <w:rFonts w:ascii="Arial" w:hAnsi="Arial" w:cs="Arial"/>
          <w:color w:val="474747"/>
          <w:sz w:val="28"/>
          <w:szCs w:val="28"/>
        </w:rPr>
        <w:t xml:space="preserve"> di Fez)</w:t>
      </w:r>
    </w:p>
    <w:p w:rsidR="002407C8" w:rsidRDefault="002407C8" w:rsidP="002407C8">
      <w:pPr>
        <w:rPr>
          <w:rFonts w:ascii="Arial" w:hAnsi="Arial" w:cs="Arial"/>
          <w:color w:val="474747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474747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474747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474747"/>
          <w:sz w:val="28"/>
          <w:szCs w:val="28"/>
        </w:rPr>
      </w:pP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68" w:lineRule="auto"/>
        <w:ind w:left="446" w:hanging="447"/>
        <w:rPr>
          <w:rFonts w:ascii="Arial" w:hAnsi="Arial" w:cs="Arial"/>
          <w:color w:val="1D1D1D"/>
          <w:sz w:val="32"/>
          <w:szCs w:val="32"/>
        </w:rPr>
      </w:pPr>
      <w:r>
        <w:rPr>
          <w:rFonts w:ascii="Arial" w:hAnsi="Arial" w:cs="Arial"/>
          <w:color w:val="1D1D1D"/>
          <w:sz w:val="32"/>
          <w:szCs w:val="32"/>
        </w:rPr>
        <w:t>Testo 08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68" w:lineRule="auto"/>
        <w:ind w:left="446" w:hanging="447"/>
        <w:rPr>
          <w:rFonts w:ascii="Arial" w:hAnsi="Arial" w:cs="Arial"/>
          <w:color w:val="1D1D1D"/>
          <w:sz w:val="36"/>
          <w:szCs w:val="36"/>
        </w:rPr>
      </w:pPr>
      <w:r>
        <w:rPr>
          <w:rFonts w:ascii="Arial" w:hAnsi="Arial" w:cs="Arial"/>
          <w:color w:val="1D1D1D"/>
          <w:sz w:val="28"/>
          <w:szCs w:val="28"/>
        </w:rPr>
        <w:lastRenderedPageBreak/>
        <w:t>Al-</w:t>
      </w:r>
      <w:proofErr w:type="spellStart"/>
      <w:r>
        <w:rPr>
          <w:rFonts w:ascii="Arial" w:hAnsi="Arial" w:cs="Arial"/>
          <w:color w:val="1D1D1D"/>
          <w:sz w:val="28"/>
          <w:szCs w:val="28"/>
        </w:rPr>
        <w:t>badiya</w:t>
      </w:r>
      <w:proofErr w:type="spellEnd"/>
      <w:r>
        <w:rPr>
          <w:rFonts w:ascii="Arial" w:hAnsi="Arial" w:cs="Arial"/>
          <w:color w:val="1D1D1D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1D1D1D"/>
          <w:sz w:val="28"/>
          <w:szCs w:val="28"/>
        </w:rPr>
        <w:t xml:space="preserve">è praticato dai contadini e dagli indigenti in città; </w:t>
      </w:r>
      <w:r>
        <w:rPr>
          <w:rFonts w:ascii="Arial" w:hAnsi="Arial" w:cs="Arial"/>
          <w:color w:val="1D1D1D"/>
          <w:sz w:val="28"/>
          <w:szCs w:val="28"/>
        </w:rPr>
        <w:t>al-</w:t>
      </w:r>
      <w:proofErr w:type="spellStart"/>
      <w:r>
        <w:rPr>
          <w:rFonts w:ascii="Arial" w:hAnsi="Arial" w:cs="Arial"/>
          <w:color w:val="1D1D1D"/>
          <w:sz w:val="28"/>
          <w:szCs w:val="28"/>
        </w:rPr>
        <w:t>hadara</w:t>
      </w:r>
      <w:proofErr w:type="spellEnd"/>
      <w:r>
        <w:rPr>
          <w:rFonts w:ascii="Arial" w:hAnsi="Arial" w:cs="Arial"/>
          <w:color w:val="1D1D1D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1D1D1D"/>
          <w:sz w:val="28"/>
          <w:szCs w:val="28"/>
        </w:rPr>
        <w:t xml:space="preserve">comprende le persone istruite, i signori, gli industriali, gli artigiani, i mercanti, i costruttori, gli officiali, la gente con un lignaggio </w:t>
      </w: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  <w:r>
        <w:rPr>
          <w:rFonts w:ascii="Calibri" w:hAnsi="Calibri" w:cs="Calibri"/>
          <w:color w:val="1D1D1D"/>
          <w:sz w:val="28"/>
          <w:szCs w:val="28"/>
        </w:rPr>
        <w:t xml:space="preserve">Lo </w:t>
      </w:r>
      <w:proofErr w:type="spellStart"/>
      <w:r>
        <w:rPr>
          <w:rFonts w:ascii="Calibri" w:hAnsi="Calibri" w:cs="Calibri"/>
          <w:i/>
          <w:iCs/>
          <w:color w:val="1D1D1D"/>
          <w:sz w:val="28"/>
          <w:szCs w:val="28"/>
        </w:rPr>
        <w:t>Hadara</w:t>
      </w:r>
      <w:proofErr w:type="spellEnd"/>
      <w:r>
        <w:rPr>
          <w:rFonts w:ascii="Calibri" w:hAnsi="Calibri" w:cs="Calibri"/>
          <w:color w:val="1D1D1D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1D1D1D"/>
          <w:sz w:val="28"/>
          <w:szCs w:val="28"/>
        </w:rPr>
        <w:t>fassi</w:t>
      </w:r>
      <w:proofErr w:type="spellEnd"/>
      <w:r>
        <w:rPr>
          <w:rFonts w:ascii="Calibri" w:hAnsi="Calibri" w:cs="Calibri"/>
          <w:color w:val="1D1D1D"/>
          <w:sz w:val="28"/>
          <w:szCs w:val="28"/>
        </w:rPr>
        <w:t xml:space="preserve"> ha prodotto i </w:t>
      </w:r>
      <w:proofErr w:type="spellStart"/>
      <w:r>
        <w:rPr>
          <w:rFonts w:ascii="Calibri" w:hAnsi="Calibri" w:cs="Calibri"/>
          <w:color w:val="1D1D1D"/>
          <w:sz w:val="28"/>
          <w:szCs w:val="28"/>
        </w:rPr>
        <w:t>Fassi</w:t>
      </w:r>
      <w:proofErr w:type="spellEnd"/>
      <w:r>
        <w:rPr>
          <w:rFonts w:ascii="Calibri" w:hAnsi="Calibri" w:cs="Calibri"/>
          <w:color w:val="1D1D1D"/>
          <w:sz w:val="28"/>
          <w:szCs w:val="28"/>
        </w:rPr>
        <w:t xml:space="preserve"> (</w:t>
      </w:r>
      <w:r>
        <w:rPr>
          <w:rFonts w:ascii="Arial" w:hAnsi="Arial" w:cs="Arial"/>
          <w:i/>
          <w:iCs/>
          <w:color w:val="1D1D1D"/>
          <w:sz w:val="28"/>
          <w:szCs w:val="28"/>
        </w:rPr>
        <w:t>intervista di P. West).</w:t>
      </w:r>
      <w:r>
        <w:rPr>
          <w:rFonts w:ascii="Arial" w:hAnsi="Arial" w:cs="Arial"/>
          <w:color w:val="1D1D1D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1D1D1D"/>
          <w:sz w:val="28"/>
          <w:szCs w:val="28"/>
        </w:rPr>
        <w:t xml:space="preserve"> </w:t>
      </w:r>
      <w:r>
        <w:rPr>
          <w:rFonts w:ascii="Arial" w:hAnsi="Arial" w:cs="Arial"/>
          <w:color w:val="1D1D1D"/>
          <w:sz w:val="28"/>
          <w:szCs w:val="28"/>
        </w:rPr>
        <w:t xml:space="preserve"> </w:t>
      </w: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</w:p>
    <w:p w:rsidR="002407C8" w:rsidRDefault="002407C8" w:rsidP="002407C8">
      <w:pPr>
        <w:rPr>
          <w:rFonts w:ascii="Arial" w:hAnsi="Arial" w:cs="Arial"/>
          <w:color w:val="1D1D1D"/>
          <w:sz w:val="28"/>
          <w:szCs w:val="28"/>
        </w:rPr>
      </w:pP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41" w:lineRule="auto"/>
        <w:ind w:left="446" w:hanging="447"/>
        <w:rPr>
          <w:rFonts w:ascii="Arial" w:hAnsi="Arial" w:cs="Arial"/>
          <w:i/>
          <w:iCs/>
          <w:color w:val="474747"/>
        </w:rPr>
      </w:pPr>
      <w:r>
        <w:rPr>
          <w:rFonts w:ascii="Arial" w:hAnsi="Arial" w:cs="Arial"/>
          <w:i/>
          <w:iCs/>
          <w:color w:val="474747"/>
        </w:rPr>
        <w:t>Testo 09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41" w:lineRule="auto"/>
        <w:ind w:left="446" w:hanging="447"/>
        <w:rPr>
          <w:rFonts w:ascii="Arial" w:hAnsi="Arial" w:cs="Arial"/>
          <w:i/>
          <w:iCs/>
          <w:color w:val="474747"/>
          <w:sz w:val="30"/>
          <w:szCs w:val="30"/>
        </w:rPr>
      </w:pPr>
      <w:r>
        <w:rPr>
          <w:rFonts w:ascii="Arial" w:hAnsi="Arial" w:cs="Arial"/>
          <w:i/>
          <w:iCs/>
          <w:color w:val="474747"/>
        </w:rPr>
        <w:t>“Se uno voleva imparare i modi di città, doveva essere invitato. Doveva essere portato in una casa e gli si doveva mostrare, ad esempio, come fare un caffè. Uno poteva passare cinque anni qui senza imparare queste cose.</w:t>
      </w:r>
    </w:p>
    <w:p w:rsidR="002407C8" w:rsidRDefault="002407C8" w:rsidP="002407C8">
      <w:pPr>
        <w:numPr>
          <w:ilvl w:val="1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41" w:lineRule="auto"/>
        <w:ind w:left="446" w:hanging="447"/>
        <w:rPr>
          <w:rFonts w:ascii="Arial" w:hAnsi="Arial" w:cs="Arial"/>
          <w:i/>
          <w:iCs/>
          <w:color w:val="474747"/>
          <w:sz w:val="30"/>
          <w:szCs w:val="30"/>
        </w:rPr>
      </w:pPr>
      <w:r>
        <w:rPr>
          <w:rFonts w:ascii="Arial" w:hAnsi="Arial" w:cs="Arial"/>
          <w:i/>
          <w:iCs/>
          <w:color w:val="474747"/>
        </w:rPr>
        <w:t>Gli studenti rurali entravano a Fez e poi diventavano figli della città, tra i più profondamente radicati.</w:t>
      </w:r>
    </w:p>
    <w:p w:rsidR="002407C8" w:rsidRDefault="002407C8" w:rsidP="002407C8">
      <w:pPr>
        <w:rPr>
          <w:rFonts w:ascii="Arial" w:hAnsi="Arial" w:cs="Arial"/>
          <w:color w:val="474747"/>
        </w:rPr>
      </w:pPr>
      <w:r>
        <w:rPr>
          <w:rFonts w:ascii="Arial" w:hAnsi="Arial" w:cs="Arial"/>
          <w:i/>
          <w:iCs/>
          <w:color w:val="474747"/>
        </w:rPr>
        <w:t>la gente non viene più alla moschea per studiare e acquisire conoscenze scientifiche, per cui lo stile di vita della città antica, la cui base era la cultura scientifica diffusa dalla moschea, si sta deteriorando, proprio come gli edifici.” (</w:t>
      </w:r>
      <w:r>
        <w:rPr>
          <w:rFonts w:ascii="Arial" w:hAnsi="Arial" w:cs="Arial"/>
          <w:color w:val="474747"/>
        </w:rPr>
        <w:t xml:space="preserve">Direttore degli Archivi </w:t>
      </w:r>
      <w:proofErr w:type="spellStart"/>
      <w:r>
        <w:rPr>
          <w:rFonts w:ascii="Arial" w:hAnsi="Arial" w:cs="Arial"/>
          <w:color w:val="474747"/>
        </w:rPr>
        <w:t>Qarawiyyin</w:t>
      </w:r>
      <w:proofErr w:type="spellEnd"/>
      <w:r>
        <w:rPr>
          <w:rFonts w:ascii="Arial" w:hAnsi="Arial" w:cs="Arial"/>
          <w:color w:val="474747"/>
        </w:rPr>
        <w:t>)</w:t>
      </w:r>
    </w:p>
    <w:p w:rsidR="002407C8" w:rsidRDefault="002407C8" w:rsidP="002407C8">
      <w:pPr>
        <w:rPr>
          <w:rFonts w:ascii="Arial" w:hAnsi="Arial" w:cs="Arial"/>
          <w:color w:val="474747"/>
        </w:rPr>
      </w:pPr>
    </w:p>
    <w:p w:rsidR="002407C8" w:rsidRDefault="002407C8" w:rsidP="002407C8">
      <w:pPr>
        <w:rPr>
          <w:rFonts w:ascii="Arial" w:hAnsi="Arial" w:cs="Arial"/>
          <w:color w:val="474747"/>
        </w:rPr>
      </w:pP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68" w:lineRule="auto"/>
        <w:ind w:left="446" w:hanging="447"/>
        <w:rPr>
          <w:rFonts w:ascii="Corbel" w:hAnsi="Corbel" w:cs="Corbel"/>
          <w:color w:val="1D1D1D"/>
          <w:sz w:val="40"/>
          <w:szCs w:val="40"/>
        </w:rPr>
      </w:pPr>
      <w:r>
        <w:rPr>
          <w:rFonts w:ascii="Corbel" w:hAnsi="Corbel" w:cs="Corbel"/>
          <w:color w:val="1D1D1D"/>
          <w:sz w:val="40"/>
          <w:szCs w:val="40"/>
        </w:rPr>
        <w:t>Testo 10</w:t>
      </w:r>
    </w:p>
    <w:p w:rsidR="002407C8" w:rsidRDefault="002407C8" w:rsidP="002407C8">
      <w:pPr>
        <w:rPr>
          <w:rFonts w:ascii="Corbel" w:hAnsi="Corbel" w:cs="Corbel"/>
          <w:color w:val="1D1D1D"/>
          <w:sz w:val="40"/>
          <w:szCs w:val="40"/>
        </w:rPr>
      </w:pPr>
      <w:r>
        <w:rPr>
          <w:rFonts w:ascii="Corbel" w:hAnsi="Corbel" w:cs="Corbel"/>
          <w:color w:val="1D1D1D"/>
          <w:sz w:val="40"/>
          <w:szCs w:val="40"/>
        </w:rPr>
        <w:t>"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Categorical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ethnic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distinctions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do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not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depend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on an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absence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of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mobility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,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contact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and information,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but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do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entail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social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processes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of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exclusion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and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incorporation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whereby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discrete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categories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are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maintained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despite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changing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participation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and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membership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in the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course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of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individual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 life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histories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 xml:space="preserve">". (F. </w:t>
      </w:r>
      <w:proofErr w:type="spellStart"/>
      <w:r>
        <w:rPr>
          <w:rFonts w:ascii="Corbel" w:hAnsi="Corbel" w:cs="Corbel"/>
          <w:color w:val="1D1D1D"/>
          <w:sz w:val="40"/>
          <w:szCs w:val="40"/>
        </w:rPr>
        <w:t>Barth</w:t>
      </w:r>
      <w:proofErr w:type="spellEnd"/>
      <w:r>
        <w:rPr>
          <w:rFonts w:ascii="Corbel" w:hAnsi="Corbel" w:cs="Corbel"/>
          <w:color w:val="1D1D1D"/>
          <w:sz w:val="40"/>
          <w:szCs w:val="40"/>
        </w:rPr>
        <w:t>)</w:t>
      </w:r>
    </w:p>
    <w:p w:rsidR="002407C8" w:rsidRDefault="002407C8" w:rsidP="002407C8">
      <w:pPr>
        <w:rPr>
          <w:rFonts w:ascii="Corbel" w:hAnsi="Corbel" w:cs="Corbel"/>
          <w:color w:val="1D1D1D"/>
          <w:sz w:val="40"/>
          <w:szCs w:val="40"/>
        </w:rPr>
      </w:pPr>
    </w:p>
    <w:p w:rsidR="002407C8" w:rsidRDefault="002407C8" w:rsidP="002407C8">
      <w:pPr>
        <w:rPr>
          <w:rFonts w:ascii="Corbel" w:hAnsi="Corbel" w:cs="Corbel"/>
          <w:color w:val="1D1D1D"/>
          <w:sz w:val="40"/>
          <w:szCs w:val="40"/>
        </w:rPr>
      </w:pPr>
    </w:p>
    <w:p w:rsidR="002407C8" w:rsidRDefault="002407C8" w:rsidP="002407C8">
      <w:pPr>
        <w:rPr>
          <w:rFonts w:ascii="Corbel" w:hAnsi="Corbel" w:cs="Corbel"/>
          <w:color w:val="1D1D1D"/>
          <w:sz w:val="40"/>
          <w:szCs w:val="40"/>
        </w:rPr>
      </w:pP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>Testo 11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 xml:space="preserve">Di solito si definisce etnia un gruppo minoritario, marginale, coeso, preesistente agli Stati moderni, localizzato attraverso i confini nazionali, in molti casi privo di uno Stato, che si sente unito in base a elementi quali la lingua, i costumi, i valori condivisi, la storia, l’origine, la religione, l’utilizzo di un territorio transnazionale. 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lastRenderedPageBreak/>
        <w:t>Sfumatura valutativa (una comunità a cui manca qualcosa rispetto a uno standard (lo Stato occidentale moderno, la nazione…)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>L’appartenenza etnica è percepita come naturale, ma è culturalmente definita.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>L’identità etnica si definisce nella relazione con l’alterità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>"L'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identita'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 sociale e individuale si definisce tanto per ripiegamento su di </w:t>
      </w:r>
      <w:proofErr w:type="gramStart"/>
      <w:r>
        <w:rPr>
          <w:rFonts w:ascii="Corbel" w:hAnsi="Corbel" w:cs="Corbel"/>
          <w:color w:val="1D1D1D"/>
          <w:sz w:val="34"/>
          <w:szCs w:val="34"/>
        </w:rPr>
        <w:t>se'</w:t>
      </w:r>
      <w:proofErr w:type="gramEnd"/>
      <w:r>
        <w:rPr>
          <w:rFonts w:ascii="Corbel" w:hAnsi="Corbel" w:cs="Corbel"/>
          <w:color w:val="1D1D1D"/>
          <w:sz w:val="34"/>
          <w:szCs w:val="34"/>
        </w:rPr>
        <w:t xml:space="preserve"> quanto attraverso l'apertura all'altro, (...) 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l'identita'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 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e'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 insieme singolare e plurale". (Jean-Loup 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Amselle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, 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Elijia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 M'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Bokolo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 xml:space="preserve"> (a cura di), </w:t>
      </w:r>
      <w:r>
        <w:rPr>
          <w:rFonts w:ascii="Corbel" w:hAnsi="Corbel" w:cs="Corbel"/>
          <w:i/>
          <w:iCs/>
          <w:color w:val="1D1D1D"/>
          <w:sz w:val="34"/>
          <w:szCs w:val="34"/>
        </w:rPr>
        <w:t>L'invenzione dell'etnia</w:t>
      </w:r>
      <w:r>
        <w:rPr>
          <w:rFonts w:ascii="Corbel" w:hAnsi="Corbel" w:cs="Corbel"/>
          <w:color w:val="1D1D1D"/>
          <w:sz w:val="34"/>
          <w:szCs w:val="34"/>
        </w:rPr>
        <w:t xml:space="preserve">, Roma, </w:t>
      </w:r>
      <w:proofErr w:type="spellStart"/>
      <w:r>
        <w:rPr>
          <w:rFonts w:ascii="Corbel" w:hAnsi="Corbel" w:cs="Corbel"/>
          <w:color w:val="1D1D1D"/>
          <w:sz w:val="34"/>
          <w:szCs w:val="34"/>
        </w:rPr>
        <w:t>Meltemi</w:t>
      </w:r>
      <w:proofErr w:type="spellEnd"/>
      <w:r>
        <w:rPr>
          <w:rFonts w:ascii="Corbel" w:hAnsi="Corbel" w:cs="Corbel"/>
          <w:color w:val="1D1D1D"/>
          <w:sz w:val="34"/>
          <w:szCs w:val="34"/>
        </w:rPr>
        <w:t>, 2008, 32)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>Il sentimento etnico spinge a costruire I criteri dell’appartenenza...</w:t>
      </w:r>
    </w:p>
    <w:p w:rsidR="002407C8" w:rsidRDefault="002407C8" w:rsidP="002407C8">
      <w:pPr>
        <w:numPr>
          <w:ilvl w:val="0"/>
          <w:numId w:val="1"/>
        </w:numPr>
        <w:tabs>
          <w:tab w:val="left" w:pos="20"/>
          <w:tab w:val="left" w:pos="446"/>
        </w:tabs>
        <w:autoSpaceDE w:val="0"/>
        <w:autoSpaceDN w:val="0"/>
        <w:adjustRightInd w:val="0"/>
        <w:spacing w:after="180" w:line="215" w:lineRule="auto"/>
        <w:ind w:left="446" w:hanging="447"/>
        <w:rPr>
          <w:rFonts w:ascii="Corbel" w:hAnsi="Corbel" w:cs="Corbel"/>
          <w:color w:val="1D1D1D"/>
          <w:sz w:val="34"/>
          <w:szCs w:val="34"/>
        </w:rPr>
      </w:pPr>
      <w:r>
        <w:rPr>
          <w:rFonts w:ascii="Corbel" w:hAnsi="Corbel" w:cs="Corbel"/>
          <w:color w:val="1D1D1D"/>
          <w:sz w:val="34"/>
          <w:szCs w:val="34"/>
        </w:rPr>
        <w:t xml:space="preserve">…e a mantenere in </w:t>
      </w:r>
      <w:proofErr w:type="gramStart"/>
      <w:r>
        <w:rPr>
          <w:rFonts w:ascii="Corbel" w:hAnsi="Corbel" w:cs="Corbel"/>
          <w:color w:val="1D1D1D"/>
          <w:sz w:val="34"/>
          <w:szCs w:val="34"/>
        </w:rPr>
        <w:t>piedi  i</w:t>
      </w:r>
      <w:proofErr w:type="gramEnd"/>
      <w:r>
        <w:rPr>
          <w:rFonts w:ascii="Corbel" w:hAnsi="Corbel" w:cs="Corbel"/>
          <w:color w:val="1D1D1D"/>
          <w:sz w:val="34"/>
          <w:szCs w:val="34"/>
        </w:rPr>
        <w:t xml:space="preserve"> confini del gruppo etnico </w:t>
      </w:r>
    </w:p>
    <w:p w:rsidR="002407C8" w:rsidRDefault="002407C8" w:rsidP="002407C8">
      <w:r>
        <w:rPr>
          <w:rFonts w:ascii="Corbel" w:hAnsi="Corbel" w:cs="Corbel"/>
          <w:color w:val="1D1D1D"/>
          <w:sz w:val="34"/>
          <w:szCs w:val="34"/>
        </w:rPr>
        <w:t>L’identità etnica non è un dato immutabile, stabilito una volta per tutte per gli individui dalla natura o dalla cultura. L’identità e l’appartenenza etnica dipendono dalle strategie e dalle scelte che gli individui mettono in atto per confermare la propria inclusione in un gruppo o per entrare a far parte di un nuovo gruppo (Fabietti 2002).</w:t>
      </w:r>
    </w:p>
    <w:sectPr w:rsidR="002407C8" w:rsidSect="00A501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C8"/>
    <w:rsid w:val="002407C8"/>
    <w:rsid w:val="00A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5DFC0"/>
  <w15:chartTrackingRefBased/>
  <w15:docId w15:val="{3A7B1708-0E5B-F14F-8767-9710165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menico copertino</dc:creator>
  <cp:keywords/>
  <dc:description/>
  <cp:lastModifiedBy>menico copertino</cp:lastModifiedBy>
  <cp:revision>1</cp:revision>
  <dcterms:created xsi:type="dcterms:W3CDTF">2020-05-14T06:42:00Z</dcterms:created>
  <dcterms:modified xsi:type="dcterms:W3CDTF">2020-05-14T06:49:00Z</dcterms:modified>
</cp:coreProperties>
</file>